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46.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left"/>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left"/>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left"/>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left"/>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left"/>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left"/>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left"/>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left"/>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left"/>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left"/>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left"/>
              <w:spacing w:after="0" w:line="240" w:lineRule="auto"/>
              <w:rPr>
                <w:sz w:val="24"/>
                <w:szCs w:val="24"/>
              </w:rPr>
            </w:pPr>
            <w:r>
              <w:rPr>
                <w:rFonts w:ascii="Times New Roman" w:hAnsi="Times New Roman" w:cs="Times New Roman"/>
                <w:color w:val="#000000"/>
                <w:sz w:val="24"/>
                <w:szCs w:val="24"/>
              </w:rPr>
              <w:t> воспитания.</w:t>
            </w:r>
          </w:p>
          <w:p>
            <w:pPr>
              <w:jc w:val="left"/>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left"/>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left"/>
              <w:spacing w:after="0" w:line="240" w:lineRule="auto"/>
              <w:rPr>
                <w:sz w:val="24"/>
                <w:szCs w:val="24"/>
              </w:rPr>
            </w:pPr>
            <w:r>
              <w:rPr>
                <w:rFonts w:ascii="Times New Roman" w:hAnsi="Times New Roman" w:cs="Times New Roman"/>
                <w:color w:val="#000000"/>
                <w:sz w:val="24"/>
                <w:szCs w:val="24"/>
              </w:rPr>
              <w:t> 7. Половое воспитание.</w:t>
            </w:r>
          </w:p>
          <w:p>
            <w:pPr>
              <w:jc w:val="left"/>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left"/>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left"/>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left"/>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2024-2025_ФГОС3++2024_Бак-ОФО-ПО2(ДОиНО)(24)_plx_Технологии организации работы с родителями младших школьников</dc:title>
  <dc:creator>FastReport.NET</dc:creator>
</cp:coreProperties>
</file>